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9C" w:rsidRDefault="00651E20" w:rsidP="005C599C">
      <w:pPr>
        <w:rPr>
          <w:rFonts w:ascii="Garamond" w:hAnsi="Garamond"/>
          <w:b/>
          <w:u w:val="single"/>
        </w:rPr>
      </w:pPr>
      <w:bookmarkStart w:id="0" w:name="_GoBack"/>
      <w:bookmarkEnd w:id="0"/>
      <w:r>
        <w:rPr>
          <w:rFonts w:ascii="Garamond" w:hAnsi="Garamond"/>
          <w:noProof/>
          <w:color w:val="404040" w:themeColor="text1" w:themeTint="BF"/>
        </w:rPr>
        <w:drawing>
          <wp:anchor distT="0" distB="0" distL="114300" distR="114300" simplePos="0" relativeHeight="251664384" behindDoc="1" locked="0" layoutInCell="1" allowOverlap="1" wp14:anchorId="11EE0075" wp14:editId="72943ABE">
            <wp:simplePos x="0" y="0"/>
            <wp:positionH relativeFrom="column">
              <wp:posOffset>-822960</wp:posOffset>
            </wp:positionH>
            <wp:positionV relativeFrom="paragraph">
              <wp:posOffset>-450215</wp:posOffset>
            </wp:positionV>
            <wp:extent cx="7772400" cy="2973576"/>
            <wp:effectExtent l="0" t="0" r="0" b="0"/>
            <wp:wrapNone/>
            <wp:docPr id="2" name="Picture 2" descr="HCDI-Creative Communications:Byron:GM One Pagers:2015:2015 OnePager Letterhe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DI-Creative Communications:Byron:GM One Pagers:2015:2015 OnePager Letterhead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297357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5C599C" w:rsidRDefault="005C599C" w:rsidP="005C599C">
      <w:pPr>
        <w:rPr>
          <w:rFonts w:ascii="Garamond" w:hAnsi="Garamond"/>
          <w:b/>
          <w:u w:val="single"/>
        </w:rPr>
      </w:pPr>
    </w:p>
    <w:p w:rsidR="005C599C" w:rsidRDefault="005C599C" w:rsidP="005C599C">
      <w:pPr>
        <w:rPr>
          <w:rFonts w:ascii="Garamond" w:hAnsi="Garamond"/>
          <w:b/>
          <w:u w:val="single"/>
        </w:rPr>
      </w:pPr>
    </w:p>
    <w:p w:rsidR="005C599C" w:rsidRDefault="005C599C" w:rsidP="005C599C">
      <w:pPr>
        <w:rPr>
          <w:rFonts w:ascii="Garamond" w:hAnsi="Garamond"/>
          <w:b/>
          <w:u w:val="single"/>
        </w:rPr>
      </w:pPr>
    </w:p>
    <w:p w:rsidR="005C599C" w:rsidRDefault="005C599C" w:rsidP="005C599C">
      <w:pPr>
        <w:rPr>
          <w:rFonts w:ascii="Garamond" w:hAnsi="Garamond"/>
          <w:b/>
          <w:u w:val="single"/>
        </w:rPr>
      </w:pPr>
    </w:p>
    <w:p w:rsidR="005C599C" w:rsidRDefault="005C599C" w:rsidP="005C599C">
      <w:pPr>
        <w:rPr>
          <w:rFonts w:ascii="Garamond" w:hAnsi="Garamond"/>
          <w:b/>
          <w:u w:val="single"/>
        </w:rPr>
      </w:pPr>
    </w:p>
    <w:p w:rsidR="005C599C" w:rsidRDefault="005C599C" w:rsidP="005C599C">
      <w:pPr>
        <w:rPr>
          <w:rFonts w:ascii="Garamond" w:hAnsi="Garamond"/>
          <w:b/>
          <w:u w:val="single"/>
        </w:rPr>
      </w:pPr>
    </w:p>
    <w:p w:rsidR="005C599C" w:rsidRDefault="005C599C" w:rsidP="005C599C">
      <w:pPr>
        <w:rPr>
          <w:rFonts w:ascii="Garamond" w:hAnsi="Garamond"/>
          <w:b/>
          <w:u w:val="single"/>
        </w:rPr>
      </w:pPr>
    </w:p>
    <w:p w:rsidR="005C599C" w:rsidRDefault="005C599C" w:rsidP="005C599C">
      <w:pPr>
        <w:rPr>
          <w:rFonts w:ascii="Garamond" w:hAnsi="Garamond"/>
          <w:b/>
          <w:u w:val="single"/>
        </w:rPr>
      </w:pPr>
    </w:p>
    <w:p w:rsidR="00C174D5" w:rsidRDefault="00C174D5" w:rsidP="005C599C">
      <w:pPr>
        <w:rPr>
          <w:rFonts w:ascii="Garamond" w:hAnsi="Garamond"/>
          <w:b/>
          <w:u w:val="single"/>
        </w:rPr>
      </w:pPr>
    </w:p>
    <w:p w:rsidR="00C174D5" w:rsidRDefault="00C174D5" w:rsidP="005C599C">
      <w:pPr>
        <w:rPr>
          <w:rFonts w:ascii="Garamond" w:hAnsi="Garamond"/>
          <w:b/>
          <w:u w:val="single"/>
        </w:rPr>
      </w:pPr>
    </w:p>
    <w:p w:rsidR="00C174D5" w:rsidRDefault="00C174D5" w:rsidP="005C599C">
      <w:pPr>
        <w:rPr>
          <w:rFonts w:ascii="Garamond" w:hAnsi="Garamond"/>
          <w:b/>
          <w:u w:val="single"/>
        </w:rPr>
      </w:pPr>
    </w:p>
    <w:p w:rsidR="005C599C" w:rsidRPr="0048603D" w:rsidRDefault="005C599C" w:rsidP="005C599C">
      <w:pPr>
        <w:rPr>
          <w:rFonts w:ascii="Garamond" w:hAnsi="Garamond"/>
          <w:b/>
          <w:sz w:val="22"/>
          <w:szCs w:val="22"/>
          <w:u w:val="single"/>
        </w:rPr>
      </w:pPr>
      <w:r w:rsidRPr="0048603D">
        <w:rPr>
          <w:rFonts w:ascii="Garamond" w:hAnsi="Garamond"/>
          <w:b/>
          <w:sz w:val="22"/>
          <w:szCs w:val="22"/>
          <w:u w:val="single"/>
        </w:rPr>
        <w:t>Key Information</w:t>
      </w:r>
    </w:p>
    <w:p w:rsidR="00C174D5" w:rsidRPr="0048603D" w:rsidRDefault="00C174D5" w:rsidP="005C599C">
      <w:pPr>
        <w:rPr>
          <w:rFonts w:ascii="Garamond" w:hAnsi="Garamond"/>
          <w:b/>
          <w:sz w:val="22"/>
          <w:szCs w:val="22"/>
          <w:u w:val="single"/>
        </w:rPr>
      </w:pPr>
    </w:p>
    <w:p w:rsidR="00EE5AD3" w:rsidRPr="0048603D" w:rsidRDefault="005C599C" w:rsidP="005C599C">
      <w:pPr>
        <w:rPr>
          <w:rFonts w:ascii="Garamond" w:hAnsi="Garamond"/>
          <w:sz w:val="22"/>
          <w:szCs w:val="22"/>
        </w:rPr>
      </w:pPr>
      <w:r w:rsidRPr="0048603D">
        <w:rPr>
          <w:rFonts w:ascii="Garamond" w:hAnsi="Garamond"/>
          <w:b/>
          <w:sz w:val="22"/>
          <w:szCs w:val="22"/>
        </w:rPr>
        <w:t>Address</w:t>
      </w:r>
      <w:r w:rsidRPr="0048603D">
        <w:rPr>
          <w:rFonts w:ascii="Garamond" w:hAnsi="Garamond"/>
          <w:sz w:val="22"/>
          <w:szCs w:val="22"/>
        </w:rPr>
        <w:tab/>
      </w:r>
      <w:r w:rsidR="00EE5AD3" w:rsidRPr="0048603D">
        <w:rPr>
          <w:rFonts w:ascii="Garamond" w:hAnsi="Garamond"/>
          <w:sz w:val="22"/>
          <w:szCs w:val="22"/>
        </w:rPr>
        <w:tab/>
        <w:t>Mailing</w:t>
      </w:r>
      <w:r w:rsidR="00EE5AD3" w:rsidRPr="0048603D">
        <w:rPr>
          <w:rFonts w:ascii="Garamond" w:hAnsi="Garamond"/>
          <w:sz w:val="22"/>
          <w:szCs w:val="22"/>
        </w:rPr>
        <w:tab/>
      </w:r>
      <w:r w:rsidR="00EE5AD3" w:rsidRPr="0048603D">
        <w:rPr>
          <w:rFonts w:ascii="Garamond" w:hAnsi="Garamond"/>
          <w:sz w:val="22"/>
          <w:szCs w:val="22"/>
        </w:rPr>
        <w:tab/>
      </w:r>
      <w:r w:rsidR="00EE5AD3" w:rsidRPr="0048603D">
        <w:rPr>
          <w:rFonts w:ascii="Garamond" w:hAnsi="Garamond"/>
          <w:sz w:val="22"/>
          <w:szCs w:val="22"/>
        </w:rPr>
        <w:tab/>
      </w:r>
      <w:r w:rsidR="00EE5AD3" w:rsidRPr="0048603D">
        <w:rPr>
          <w:rFonts w:ascii="Garamond" w:hAnsi="Garamond"/>
          <w:sz w:val="22"/>
          <w:szCs w:val="22"/>
        </w:rPr>
        <w:tab/>
      </w:r>
      <w:r w:rsidR="00EE5AD3" w:rsidRPr="0048603D">
        <w:rPr>
          <w:rFonts w:ascii="Garamond" w:hAnsi="Garamond"/>
          <w:sz w:val="22"/>
          <w:szCs w:val="22"/>
        </w:rPr>
        <w:tab/>
        <w:t>Physical</w:t>
      </w:r>
    </w:p>
    <w:p w:rsidR="005C599C" w:rsidRPr="0048603D" w:rsidRDefault="005C599C" w:rsidP="00EE5AD3">
      <w:pPr>
        <w:ind w:left="1440" w:firstLine="720"/>
        <w:rPr>
          <w:rFonts w:ascii="Garamond" w:hAnsi="Garamond"/>
          <w:sz w:val="22"/>
          <w:szCs w:val="22"/>
        </w:rPr>
      </w:pPr>
      <w:r w:rsidRPr="0048603D">
        <w:rPr>
          <w:rFonts w:ascii="Garamond" w:hAnsi="Garamond"/>
          <w:sz w:val="22"/>
          <w:szCs w:val="22"/>
        </w:rPr>
        <w:t>550 12</w:t>
      </w:r>
      <w:r w:rsidRPr="0048603D">
        <w:rPr>
          <w:rFonts w:ascii="Garamond" w:hAnsi="Garamond"/>
          <w:sz w:val="22"/>
          <w:szCs w:val="22"/>
          <w:vertAlign w:val="superscript"/>
        </w:rPr>
        <w:t>th</w:t>
      </w:r>
      <w:r w:rsidRPr="0048603D">
        <w:rPr>
          <w:rFonts w:ascii="Garamond" w:hAnsi="Garamond"/>
          <w:sz w:val="22"/>
          <w:szCs w:val="22"/>
        </w:rPr>
        <w:t xml:space="preserve"> Street, NW</w:t>
      </w:r>
      <w:r w:rsidR="00EE5AD3" w:rsidRPr="0048603D">
        <w:rPr>
          <w:rFonts w:ascii="Garamond" w:hAnsi="Garamond"/>
          <w:sz w:val="22"/>
          <w:szCs w:val="22"/>
        </w:rPr>
        <w:tab/>
      </w:r>
      <w:r w:rsidR="00EE5AD3" w:rsidRPr="0048603D">
        <w:rPr>
          <w:rFonts w:ascii="Garamond" w:hAnsi="Garamond"/>
          <w:sz w:val="22"/>
          <w:szCs w:val="22"/>
        </w:rPr>
        <w:tab/>
      </w:r>
      <w:r w:rsidR="00EE5AD3" w:rsidRPr="0048603D">
        <w:rPr>
          <w:rFonts w:ascii="Garamond" w:hAnsi="Garamond"/>
          <w:sz w:val="22"/>
          <w:szCs w:val="22"/>
        </w:rPr>
        <w:tab/>
        <w:t>451 7</w:t>
      </w:r>
      <w:r w:rsidR="00EE5AD3" w:rsidRPr="0048603D">
        <w:rPr>
          <w:rFonts w:ascii="Garamond" w:hAnsi="Garamond"/>
          <w:sz w:val="22"/>
          <w:szCs w:val="22"/>
          <w:vertAlign w:val="superscript"/>
        </w:rPr>
        <w:t>th</w:t>
      </w:r>
      <w:r w:rsidR="00EE5AD3" w:rsidRPr="0048603D">
        <w:rPr>
          <w:rFonts w:ascii="Garamond" w:hAnsi="Garamond"/>
          <w:sz w:val="22"/>
          <w:szCs w:val="22"/>
        </w:rPr>
        <w:t xml:space="preserve"> Street, SW, Room B-133</w:t>
      </w:r>
    </w:p>
    <w:p w:rsidR="005C599C" w:rsidRPr="0048603D" w:rsidRDefault="005C599C" w:rsidP="005C599C">
      <w:pPr>
        <w:rPr>
          <w:rFonts w:ascii="Garamond" w:hAnsi="Garamond"/>
          <w:sz w:val="22"/>
          <w:szCs w:val="22"/>
        </w:rPr>
      </w:pPr>
      <w:r w:rsidRPr="0048603D">
        <w:rPr>
          <w:rFonts w:ascii="Garamond" w:hAnsi="Garamond"/>
          <w:sz w:val="22"/>
          <w:szCs w:val="22"/>
        </w:rPr>
        <w:tab/>
      </w:r>
      <w:r w:rsidRPr="0048603D">
        <w:rPr>
          <w:rFonts w:ascii="Garamond" w:hAnsi="Garamond"/>
          <w:sz w:val="22"/>
          <w:szCs w:val="22"/>
        </w:rPr>
        <w:tab/>
      </w:r>
      <w:r w:rsidRPr="0048603D">
        <w:rPr>
          <w:rFonts w:ascii="Garamond" w:hAnsi="Garamond"/>
          <w:sz w:val="22"/>
          <w:szCs w:val="22"/>
        </w:rPr>
        <w:tab/>
        <w:t>Washington, DC  20024</w:t>
      </w:r>
      <w:r w:rsidR="00EE5AD3" w:rsidRPr="0048603D">
        <w:rPr>
          <w:rFonts w:ascii="Garamond" w:hAnsi="Garamond"/>
          <w:sz w:val="22"/>
          <w:szCs w:val="22"/>
        </w:rPr>
        <w:tab/>
      </w:r>
      <w:r w:rsidR="006B3B05">
        <w:rPr>
          <w:rFonts w:ascii="Garamond" w:hAnsi="Garamond"/>
          <w:sz w:val="22"/>
          <w:szCs w:val="22"/>
        </w:rPr>
        <w:tab/>
      </w:r>
      <w:r w:rsidR="00EE5AD3" w:rsidRPr="0048603D">
        <w:rPr>
          <w:rFonts w:ascii="Garamond" w:hAnsi="Garamond"/>
          <w:sz w:val="22"/>
          <w:szCs w:val="22"/>
        </w:rPr>
        <w:tab/>
        <w:t>Washington, DC 20410</w:t>
      </w:r>
    </w:p>
    <w:p w:rsidR="005C599C" w:rsidRPr="0048603D" w:rsidRDefault="005C599C" w:rsidP="005C599C">
      <w:pPr>
        <w:rPr>
          <w:rFonts w:ascii="Garamond" w:hAnsi="Garamond"/>
          <w:sz w:val="22"/>
          <w:szCs w:val="22"/>
        </w:rPr>
      </w:pPr>
    </w:p>
    <w:p w:rsidR="005C599C" w:rsidRPr="0048603D" w:rsidRDefault="005C599C" w:rsidP="005C599C">
      <w:pPr>
        <w:rPr>
          <w:rFonts w:ascii="Garamond" w:hAnsi="Garamond"/>
          <w:sz w:val="22"/>
          <w:szCs w:val="22"/>
        </w:rPr>
      </w:pPr>
      <w:r w:rsidRPr="0048603D">
        <w:rPr>
          <w:rFonts w:ascii="Garamond" w:hAnsi="Garamond"/>
          <w:b/>
          <w:sz w:val="22"/>
          <w:szCs w:val="22"/>
        </w:rPr>
        <w:t>Phone</w:t>
      </w:r>
      <w:r w:rsidRPr="0048603D">
        <w:rPr>
          <w:rFonts w:ascii="Garamond" w:hAnsi="Garamond"/>
          <w:sz w:val="22"/>
          <w:szCs w:val="22"/>
        </w:rPr>
        <w:tab/>
      </w:r>
      <w:r w:rsidRPr="0048603D">
        <w:rPr>
          <w:rFonts w:ascii="Garamond" w:hAnsi="Garamond"/>
          <w:sz w:val="22"/>
          <w:szCs w:val="22"/>
        </w:rPr>
        <w:tab/>
      </w:r>
      <w:r w:rsidRPr="0048603D">
        <w:rPr>
          <w:rFonts w:ascii="Garamond" w:hAnsi="Garamond"/>
          <w:sz w:val="22"/>
          <w:szCs w:val="22"/>
        </w:rPr>
        <w:tab/>
        <w:t>888-446-6434</w:t>
      </w:r>
    </w:p>
    <w:p w:rsidR="005C599C" w:rsidRPr="0048603D" w:rsidRDefault="005C599C" w:rsidP="005C599C">
      <w:pPr>
        <w:rPr>
          <w:rFonts w:ascii="Garamond" w:hAnsi="Garamond"/>
          <w:sz w:val="22"/>
          <w:szCs w:val="22"/>
        </w:rPr>
      </w:pPr>
    </w:p>
    <w:p w:rsidR="005C599C" w:rsidRPr="0048603D" w:rsidRDefault="005C599C" w:rsidP="005C599C">
      <w:pPr>
        <w:rPr>
          <w:rFonts w:ascii="Garamond" w:hAnsi="Garamond"/>
          <w:sz w:val="22"/>
          <w:szCs w:val="22"/>
        </w:rPr>
      </w:pPr>
      <w:r w:rsidRPr="0048603D">
        <w:rPr>
          <w:rFonts w:ascii="Garamond" w:hAnsi="Garamond"/>
          <w:b/>
          <w:sz w:val="22"/>
          <w:szCs w:val="22"/>
        </w:rPr>
        <w:t>Website</w:t>
      </w:r>
      <w:r w:rsidRPr="0048603D">
        <w:rPr>
          <w:rFonts w:ascii="Garamond" w:hAnsi="Garamond"/>
          <w:sz w:val="22"/>
          <w:szCs w:val="22"/>
        </w:rPr>
        <w:tab/>
      </w:r>
      <w:r w:rsidRPr="0048603D">
        <w:rPr>
          <w:rFonts w:ascii="Garamond" w:hAnsi="Garamond"/>
          <w:sz w:val="22"/>
          <w:szCs w:val="22"/>
        </w:rPr>
        <w:tab/>
        <w:t>www.ginniemae.gov</w:t>
      </w:r>
    </w:p>
    <w:p w:rsidR="005C599C" w:rsidRPr="0048603D" w:rsidRDefault="005C599C" w:rsidP="005C599C">
      <w:pPr>
        <w:rPr>
          <w:rFonts w:ascii="Garamond" w:hAnsi="Garamond"/>
          <w:sz w:val="22"/>
          <w:szCs w:val="22"/>
        </w:rPr>
      </w:pPr>
    </w:p>
    <w:p w:rsidR="005C599C" w:rsidRPr="0048603D" w:rsidRDefault="005C599C" w:rsidP="005C599C">
      <w:pPr>
        <w:rPr>
          <w:rFonts w:ascii="Garamond" w:hAnsi="Garamond"/>
          <w:sz w:val="22"/>
          <w:szCs w:val="22"/>
        </w:rPr>
      </w:pPr>
      <w:r w:rsidRPr="0048603D">
        <w:rPr>
          <w:rFonts w:ascii="Garamond" w:hAnsi="Garamond"/>
          <w:b/>
          <w:sz w:val="22"/>
          <w:szCs w:val="22"/>
        </w:rPr>
        <w:t>Key</w:t>
      </w:r>
      <w:r w:rsidRPr="0048603D">
        <w:rPr>
          <w:rFonts w:ascii="Garamond" w:hAnsi="Garamond"/>
          <w:sz w:val="22"/>
          <w:szCs w:val="22"/>
        </w:rPr>
        <w:t xml:space="preserve"> </w:t>
      </w:r>
      <w:r w:rsidRPr="0048603D">
        <w:rPr>
          <w:rFonts w:ascii="Garamond" w:hAnsi="Garamond"/>
          <w:b/>
          <w:sz w:val="22"/>
          <w:szCs w:val="22"/>
        </w:rPr>
        <w:t>Executives</w:t>
      </w:r>
      <w:r w:rsidRPr="0048603D">
        <w:rPr>
          <w:rFonts w:ascii="Garamond" w:hAnsi="Garamond"/>
          <w:sz w:val="22"/>
          <w:szCs w:val="22"/>
        </w:rPr>
        <w:tab/>
      </w:r>
      <w:r w:rsidR="006B3B05">
        <w:rPr>
          <w:rFonts w:ascii="Garamond" w:hAnsi="Garamond"/>
          <w:sz w:val="22"/>
          <w:szCs w:val="22"/>
        </w:rPr>
        <w:tab/>
      </w:r>
      <w:r w:rsidRPr="0048603D">
        <w:rPr>
          <w:rFonts w:ascii="Garamond" w:hAnsi="Garamond"/>
          <w:i/>
          <w:sz w:val="22"/>
          <w:szCs w:val="22"/>
        </w:rPr>
        <w:t>Honorable Theodore Tozer</w:t>
      </w:r>
      <w:r w:rsidRPr="0048603D">
        <w:rPr>
          <w:rFonts w:ascii="Garamond" w:hAnsi="Garamond"/>
          <w:sz w:val="22"/>
          <w:szCs w:val="22"/>
        </w:rPr>
        <w:t>, President</w:t>
      </w:r>
    </w:p>
    <w:p w:rsidR="005C599C" w:rsidRPr="0048603D" w:rsidRDefault="005C599C" w:rsidP="005C599C">
      <w:pPr>
        <w:ind w:left="2160"/>
        <w:rPr>
          <w:rFonts w:ascii="Garamond" w:hAnsi="Garamond"/>
          <w:sz w:val="22"/>
          <w:szCs w:val="22"/>
        </w:rPr>
      </w:pPr>
    </w:p>
    <w:p w:rsidR="005C599C" w:rsidRPr="0048603D" w:rsidRDefault="005C599C" w:rsidP="005C599C">
      <w:pPr>
        <w:rPr>
          <w:rFonts w:ascii="Garamond" w:hAnsi="Garamond"/>
          <w:sz w:val="22"/>
          <w:szCs w:val="22"/>
        </w:rPr>
      </w:pPr>
      <w:r w:rsidRPr="0048603D">
        <w:rPr>
          <w:rFonts w:ascii="Garamond" w:hAnsi="Garamond"/>
          <w:b/>
          <w:sz w:val="22"/>
          <w:szCs w:val="22"/>
        </w:rPr>
        <w:t>Founded</w:t>
      </w:r>
      <w:r w:rsidRPr="0048603D">
        <w:rPr>
          <w:rFonts w:ascii="Garamond" w:hAnsi="Garamond"/>
          <w:sz w:val="22"/>
          <w:szCs w:val="22"/>
        </w:rPr>
        <w:tab/>
      </w:r>
      <w:r w:rsidRPr="0048603D">
        <w:rPr>
          <w:rFonts w:ascii="Garamond" w:hAnsi="Garamond"/>
          <w:sz w:val="22"/>
          <w:szCs w:val="22"/>
        </w:rPr>
        <w:tab/>
        <w:t>1968</w:t>
      </w:r>
    </w:p>
    <w:p w:rsidR="005C599C" w:rsidRPr="0048603D" w:rsidRDefault="005C599C" w:rsidP="005C599C">
      <w:pPr>
        <w:rPr>
          <w:rFonts w:ascii="Garamond" w:hAnsi="Garamond"/>
          <w:sz w:val="22"/>
          <w:szCs w:val="22"/>
        </w:rPr>
      </w:pPr>
    </w:p>
    <w:p w:rsidR="005C599C" w:rsidRPr="0048603D" w:rsidRDefault="005C599C" w:rsidP="005C599C">
      <w:pPr>
        <w:rPr>
          <w:rFonts w:ascii="Garamond" w:hAnsi="Garamond"/>
          <w:sz w:val="22"/>
          <w:szCs w:val="22"/>
        </w:rPr>
      </w:pPr>
      <w:r w:rsidRPr="0048603D">
        <w:rPr>
          <w:rFonts w:ascii="Garamond" w:hAnsi="Garamond"/>
          <w:b/>
          <w:sz w:val="22"/>
          <w:szCs w:val="22"/>
        </w:rPr>
        <w:t>Employees</w:t>
      </w:r>
      <w:r w:rsidRPr="0048603D">
        <w:rPr>
          <w:rFonts w:ascii="Garamond" w:hAnsi="Garamond"/>
          <w:sz w:val="22"/>
          <w:szCs w:val="22"/>
        </w:rPr>
        <w:tab/>
      </w:r>
      <w:r w:rsidRPr="0048603D">
        <w:rPr>
          <w:rFonts w:ascii="Garamond" w:hAnsi="Garamond"/>
          <w:sz w:val="22"/>
          <w:szCs w:val="22"/>
        </w:rPr>
        <w:tab/>
        <w:t>12</w:t>
      </w:r>
      <w:r w:rsidR="00EE5AD3" w:rsidRPr="0048603D">
        <w:rPr>
          <w:rFonts w:ascii="Garamond" w:hAnsi="Garamond"/>
          <w:sz w:val="22"/>
          <w:szCs w:val="22"/>
        </w:rPr>
        <w:t>7</w:t>
      </w:r>
    </w:p>
    <w:p w:rsidR="006051E2" w:rsidRPr="0048603D" w:rsidRDefault="006051E2" w:rsidP="005C599C">
      <w:pPr>
        <w:rPr>
          <w:rFonts w:ascii="Garamond" w:hAnsi="Garamond"/>
          <w:sz w:val="22"/>
          <w:szCs w:val="22"/>
        </w:rPr>
      </w:pPr>
    </w:p>
    <w:p w:rsidR="006051E2" w:rsidRPr="0048603D" w:rsidRDefault="006051E2" w:rsidP="005C599C">
      <w:pPr>
        <w:rPr>
          <w:rFonts w:ascii="Garamond" w:hAnsi="Garamond"/>
          <w:sz w:val="22"/>
          <w:szCs w:val="22"/>
        </w:rPr>
      </w:pPr>
      <w:r w:rsidRPr="006B3B05">
        <w:rPr>
          <w:rFonts w:ascii="Garamond" w:hAnsi="Garamond"/>
          <w:b/>
          <w:sz w:val="22"/>
          <w:szCs w:val="22"/>
        </w:rPr>
        <w:t>Taxpayer</w:t>
      </w:r>
      <w:r w:rsidR="006B3B05">
        <w:rPr>
          <w:rFonts w:ascii="Garamond" w:hAnsi="Garamond"/>
          <w:b/>
          <w:sz w:val="22"/>
          <w:szCs w:val="22"/>
        </w:rPr>
        <w:t xml:space="preserve"> Savings</w:t>
      </w:r>
      <w:r w:rsidRPr="0048603D">
        <w:rPr>
          <w:rFonts w:ascii="Garamond" w:hAnsi="Garamond"/>
          <w:sz w:val="22"/>
          <w:szCs w:val="22"/>
        </w:rPr>
        <w:tab/>
        <w:t>Returned $2.2 billion to the United States Treasury</w:t>
      </w:r>
    </w:p>
    <w:p w:rsidR="006051E2" w:rsidRPr="0048603D" w:rsidRDefault="006051E2" w:rsidP="005C599C">
      <w:pPr>
        <w:rPr>
          <w:rFonts w:ascii="Garamond" w:hAnsi="Garamond"/>
          <w:sz w:val="22"/>
          <w:szCs w:val="22"/>
        </w:rPr>
      </w:pPr>
    </w:p>
    <w:p w:rsidR="006051E2" w:rsidRPr="0048603D" w:rsidRDefault="006051E2" w:rsidP="006051E2">
      <w:pPr>
        <w:ind w:left="2160" w:hanging="2160"/>
        <w:rPr>
          <w:rFonts w:ascii="Garamond" w:hAnsi="Garamond"/>
          <w:sz w:val="22"/>
          <w:szCs w:val="22"/>
        </w:rPr>
      </w:pPr>
      <w:r w:rsidRPr="006B3B05">
        <w:rPr>
          <w:rFonts w:ascii="Garamond" w:hAnsi="Garamond"/>
          <w:b/>
          <w:sz w:val="22"/>
          <w:szCs w:val="22"/>
        </w:rPr>
        <w:t>Market Share</w:t>
      </w:r>
      <w:r w:rsidRPr="0048603D">
        <w:rPr>
          <w:rFonts w:ascii="Garamond" w:hAnsi="Garamond"/>
          <w:sz w:val="22"/>
          <w:szCs w:val="22"/>
        </w:rPr>
        <w:tab/>
        <w:t>39 percent share of secondary mortgage market, virtually all of government market</w:t>
      </w:r>
    </w:p>
    <w:p w:rsidR="006665A2" w:rsidRPr="0048603D" w:rsidRDefault="006665A2" w:rsidP="006051E2">
      <w:pPr>
        <w:ind w:left="2160" w:hanging="2160"/>
        <w:rPr>
          <w:rFonts w:ascii="Garamond" w:hAnsi="Garamond"/>
          <w:sz w:val="22"/>
          <w:szCs w:val="22"/>
        </w:rPr>
      </w:pPr>
    </w:p>
    <w:p w:rsidR="006051E2" w:rsidRPr="00DC1A73" w:rsidRDefault="006051E2" w:rsidP="006051E2">
      <w:pPr>
        <w:ind w:left="2160" w:hanging="2160"/>
        <w:rPr>
          <w:rFonts w:ascii="Garamond" w:hAnsi="Garamond"/>
          <w:sz w:val="22"/>
          <w:szCs w:val="22"/>
        </w:rPr>
      </w:pPr>
      <w:r w:rsidRPr="006B3B05">
        <w:rPr>
          <w:rFonts w:ascii="Garamond" w:hAnsi="Garamond"/>
          <w:b/>
          <w:sz w:val="22"/>
          <w:szCs w:val="22"/>
        </w:rPr>
        <w:t>FY2015 Issuance</w:t>
      </w:r>
      <w:r w:rsidRPr="0048603D">
        <w:rPr>
          <w:rFonts w:ascii="Garamond" w:hAnsi="Garamond"/>
          <w:sz w:val="22"/>
          <w:szCs w:val="22"/>
        </w:rPr>
        <w:tab/>
      </w:r>
      <w:r w:rsidR="00351C5A" w:rsidRPr="0048603D">
        <w:rPr>
          <w:rFonts w:ascii="Garamond" w:hAnsi="Garamond"/>
          <w:sz w:val="22"/>
          <w:szCs w:val="22"/>
        </w:rPr>
        <w:t xml:space="preserve">More than $432 billion in new MBS, surpassing Freddie Mac </w:t>
      </w:r>
      <w:r w:rsidR="00351C5A" w:rsidRPr="00DC1A73">
        <w:rPr>
          <w:rFonts w:ascii="Garamond" w:hAnsi="Garamond"/>
          <w:sz w:val="22"/>
          <w:szCs w:val="22"/>
        </w:rPr>
        <w:t>for entire fiscal year</w:t>
      </w:r>
      <w:r w:rsidR="0027350A" w:rsidRPr="00DC1A73">
        <w:rPr>
          <w:rFonts w:ascii="Garamond" w:hAnsi="Garamond"/>
          <w:sz w:val="22"/>
          <w:szCs w:val="22"/>
        </w:rPr>
        <w:t xml:space="preserve"> and Fannie Mae in latter half of FY2015.</w:t>
      </w:r>
    </w:p>
    <w:p w:rsidR="0027350A" w:rsidRPr="00DC1A73" w:rsidRDefault="0027350A" w:rsidP="006051E2">
      <w:pPr>
        <w:ind w:left="2160" w:hanging="2160"/>
        <w:rPr>
          <w:rFonts w:ascii="Garamond" w:hAnsi="Garamond"/>
          <w:sz w:val="22"/>
          <w:szCs w:val="22"/>
        </w:rPr>
      </w:pPr>
    </w:p>
    <w:p w:rsidR="006051E2" w:rsidRPr="00DC1A73" w:rsidRDefault="0027350A" w:rsidP="0027350A">
      <w:pPr>
        <w:ind w:left="2160" w:hanging="2160"/>
        <w:rPr>
          <w:rFonts w:ascii="Garamond" w:hAnsi="Garamond"/>
          <w:sz w:val="22"/>
          <w:szCs w:val="22"/>
        </w:rPr>
      </w:pPr>
      <w:r w:rsidRPr="00DC1A73">
        <w:rPr>
          <w:rFonts w:ascii="Garamond" w:hAnsi="Garamond"/>
          <w:b/>
          <w:sz w:val="22"/>
          <w:szCs w:val="22"/>
        </w:rPr>
        <w:t>Pass Through</w:t>
      </w:r>
      <w:r w:rsidRPr="00DC1A73">
        <w:rPr>
          <w:rFonts w:ascii="Garamond" w:hAnsi="Garamond"/>
          <w:sz w:val="22"/>
          <w:szCs w:val="22"/>
        </w:rPr>
        <w:tab/>
      </w:r>
      <w:r w:rsidR="006B3B05" w:rsidRPr="00DC1A73">
        <w:rPr>
          <w:rFonts w:ascii="Garamond" w:hAnsi="Garamond"/>
          <w:sz w:val="22"/>
          <w:szCs w:val="22"/>
        </w:rPr>
        <w:t>P</w:t>
      </w:r>
      <w:r w:rsidR="006051E2" w:rsidRPr="00DC1A73">
        <w:rPr>
          <w:rFonts w:ascii="Garamond" w:hAnsi="Garamond"/>
          <w:sz w:val="22"/>
          <w:szCs w:val="22"/>
        </w:rPr>
        <w:t>ass-through to investors for FY2015 was $104,581,673,623</w:t>
      </w:r>
      <w:r w:rsidR="006B3B05" w:rsidRPr="00DC1A73">
        <w:rPr>
          <w:rFonts w:ascii="Garamond" w:hAnsi="Garamond"/>
          <w:sz w:val="22"/>
          <w:szCs w:val="22"/>
        </w:rPr>
        <w:t xml:space="preserve"> for Ginnie Mae I; </w:t>
      </w:r>
      <w:r w:rsidR="00AB368A" w:rsidRPr="00DC1A73">
        <w:rPr>
          <w:rFonts w:ascii="Garamond" w:hAnsi="Garamond"/>
          <w:sz w:val="22"/>
          <w:szCs w:val="22"/>
        </w:rPr>
        <w:t>$301,280,798,994</w:t>
      </w:r>
      <w:r w:rsidR="00AB368A">
        <w:rPr>
          <w:rFonts w:ascii="Garamond" w:hAnsi="Garamond"/>
          <w:sz w:val="22"/>
          <w:szCs w:val="22"/>
        </w:rPr>
        <w:t xml:space="preserve"> </w:t>
      </w:r>
      <w:r w:rsidR="006B3B05" w:rsidRPr="00DC1A73">
        <w:rPr>
          <w:rFonts w:ascii="Garamond" w:hAnsi="Garamond"/>
          <w:sz w:val="22"/>
          <w:szCs w:val="22"/>
        </w:rPr>
        <w:t>for Ginnie Mae II</w:t>
      </w:r>
      <w:r w:rsidR="006051E2" w:rsidRPr="00DC1A73">
        <w:rPr>
          <w:rFonts w:ascii="Garamond" w:hAnsi="Garamond"/>
          <w:sz w:val="22"/>
          <w:szCs w:val="22"/>
        </w:rPr>
        <w:t>.</w:t>
      </w:r>
    </w:p>
    <w:p w:rsidR="005C599C" w:rsidRPr="00DC1A73" w:rsidRDefault="005C599C" w:rsidP="005C599C">
      <w:pPr>
        <w:rPr>
          <w:rFonts w:ascii="Garamond" w:hAnsi="Garamond"/>
          <w:sz w:val="22"/>
          <w:szCs w:val="22"/>
        </w:rPr>
      </w:pPr>
    </w:p>
    <w:p w:rsidR="005C599C" w:rsidRPr="0048603D" w:rsidRDefault="005C599C" w:rsidP="00C174D5">
      <w:pPr>
        <w:pStyle w:val="ms-rteelement-p"/>
        <w:shd w:val="clear" w:color="auto" w:fill="FFFFFF"/>
        <w:spacing w:before="0" w:beforeAutospacing="0" w:after="0" w:afterAutospacing="0"/>
        <w:rPr>
          <w:rFonts w:ascii="Garamond" w:hAnsi="Garamond" w:cs="Arial"/>
          <w:b/>
          <w:sz w:val="22"/>
          <w:szCs w:val="22"/>
          <w:u w:val="single"/>
        </w:rPr>
      </w:pPr>
      <w:r w:rsidRPr="0048603D">
        <w:rPr>
          <w:rFonts w:ascii="Garamond" w:hAnsi="Garamond" w:cs="Arial"/>
          <w:b/>
          <w:sz w:val="22"/>
          <w:szCs w:val="22"/>
          <w:u w:val="single"/>
        </w:rPr>
        <w:t>Mission</w:t>
      </w:r>
    </w:p>
    <w:p w:rsidR="00C174D5" w:rsidRPr="0048603D" w:rsidRDefault="00C174D5" w:rsidP="00C174D5">
      <w:pPr>
        <w:pStyle w:val="ms-rteelement-p"/>
        <w:shd w:val="clear" w:color="auto" w:fill="FFFFFF"/>
        <w:spacing w:before="0" w:beforeAutospacing="0" w:after="0" w:afterAutospacing="0"/>
        <w:rPr>
          <w:rFonts w:ascii="Garamond" w:hAnsi="Garamond" w:cs="Arial"/>
          <w:b/>
          <w:sz w:val="22"/>
          <w:szCs w:val="22"/>
          <w:u w:val="single"/>
        </w:rPr>
      </w:pPr>
    </w:p>
    <w:p w:rsidR="003C54FC" w:rsidRPr="0048603D" w:rsidRDefault="009405BF" w:rsidP="00C174D5">
      <w:pPr>
        <w:pStyle w:val="ms-rteelement-p"/>
        <w:shd w:val="clear" w:color="auto" w:fill="FFFFFF"/>
        <w:spacing w:before="0" w:beforeAutospacing="0" w:after="0" w:afterAutospacing="0"/>
        <w:rPr>
          <w:rFonts w:ascii="Garamond" w:hAnsi="Garamond" w:cs="Arial"/>
          <w:sz w:val="22"/>
          <w:szCs w:val="22"/>
        </w:rPr>
      </w:pPr>
      <w:r w:rsidRPr="0048603D">
        <w:rPr>
          <w:rFonts w:ascii="Garamond" w:hAnsi="Garamond" w:cs="Arial"/>
          <w:noProof/>
          <w:color w:val="800080"/>
          <w:sz w:val="22"/>
          <w:szCs w:val="22"/>
        </w:rPr>
        <w:drawing>
          <wp:anchor distT="0" distB="0" distL="114300" distR="114300" simplePos="0" relativeHeight="251662336" behindDoc="0" locked="0" layoutInCell="1" allowOverlap="1" wp14:anchorId="145B55B2" wp14:editId="0EF34830">
            <wp:simplePos x="0" y="0"/>
            <wp:positionH relativeFrom="column">
              <wp:posOffset>3298825</wp:posOffset>
            </wp:positionH>
            <wp:positionV relativeFrom="paragraph">
              <wp:posOffset>95250</wp:posOffset>
            </wp:positionV>
            <wp:extent cx="3108960" cy="1828800"/>
            <wp:effectExtent l="19050" t="19050" r="15240" b="19050"/>
            <wp:wrapSquare wrapText="bothSides"/>
            <wp:docPr id="1" name="Picture 1" descr="Ginnie Mae's Counter-cyclical Role">
              <a:hlinkClick xmlns:a="http://schemas.openxmlformats.org/drawingml/2006/main" r:id="rId7" tgtFrame="&quot;_blank&quot;" tooltip="&quot;Ginnie Mae's Counter-cyclical Ro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nie Mae's Counter-cyclical Role">
                      <a:hlinkClick r:id="rId7" tgtFrame="&quot;_blank&quot;" tooltip="&quot;Ginnie Mae's Counter-cyclical Ro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960" cy="18288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C54FC" w:rsidRPr="0048603D">
        <w:rPr>
          <w:rFonts w:ascii="Garamond" w:hAnsi="Garamond" w:cs="Arial"/>
          <w:sz w:val="22"/>
          <w:szCs w:val="22"/>
        </w:rPr>
        <w:t xml:space="preserve">Ginnie Mae helps veterans and low and middle income </w:t>
      </w:r>
      <w:r w:rsidR="0053507D" w:rsidRPr="0048603D">
        <w:rPr>
          <w:rFonts w:ascii="Garamond" w:hAnsi="Garamond" w:cs="Arial"/>
          <w:sz w:val="22"/>
          <w:szCs w:val="22"/>
        </w:rPr>
        <w:t>families</w:t>
      </w:r>
      <w:r w:rsidR="003C54FC" w:rsidRPr="0048603D">
        <w:rPr>
          <w:rFonts w:ascii="Garamond" w:hAnsi="Garamond" w:cs="Arial"/>
          <w:sz w:val="22"/>
          <w:szCs w:val="22"/>
        </w:rPr>
        <w:t xml:space="preserve"> purchase homes by ensuring they can get an affordable mortgage.   We are like the Federal Deposit Insurance </w:t>
      </w:r>
      <w:r w:rsidR="0053507D" w:rsidRPr="0048603D">
        <w:rPr>
          <w:rFonts w:ascii="Garamond" w:hAnsi="Garamond" w:cs="Arial"/>
          <w:sz w:val="22"/>
          <w:szCs w:val="22"/>
        </w:rPr>
        <w:t>Corporation</w:t>
      </w:r>
      <w:r w:rsidR="003C54FC" w:rsidRPr="0048603D">
        <w:rPr>
          <w:rFonts w:ascii="Garamond" w:hAnsi="Garamond" w:cs="Arial"/>
          <w:sz w:val="22"/>
          <w:szCs w:val="22"/>
        </w:rPr>
        <w:t xml:space="preserve">, only for the </w:t>
      </w:r>
      <w:r w:rsidR="0053507D" w:rsidRPr="0048603D">
        <w:rPr>
          <w:rFonts w:ascii="Garamond" w:hAnsi="Garamond" w:cs="Arial"/>
          <w:sz w:val="22"/>
          <w:szCs w:val="22"/>
        </w:rPr>
        <w:t>government</w:t>
      </w:r>
      <w:r w:rsidR="003C54FC" w:rsidRPr="0048603D">
        <w:rPr>
          <w:rFonts w:ascii="Garamond" w:hAnsi="Garamond" w:cs="Arial"/>
          <w:sz w:val="22"/>
          <w:szCs w:val="22"/>
        </w:rPr>
        <w:t xml:space="preserve"> </w:t>
      </w:r>
      <w:r w:rsidR="0053507D" w:rsidRPr="0048603D">
        <w:rPr>
          <w:rFonts w:ascii="Garamond" w:hAnsi="Garamond" w:cs="Arial"/>
          <w:sz w:val="22"/>
          <w:szCs w:val="22"/>
        </w:rPr>
        <w:t>mortgage</w:t>
      </w:r>
      <w:r w:rsidR="003C54FC" w:rsidRPr="0048603D">
        <w:rPr>
          <w:rFonts w:ascii="Garamond" w:hAnsi="Garamond" w:cs="Arial"/>
          <w:sz w:val="22"/>
          <w:szCs w:val="22"/>
        </w:rPr>
        <w:t xml:space="preserve"> market.  </w:t>
      </w:r>
    </w:p>
    <w:p w:rsidR="005C599C" w:rsidRPr="0048603D" w:rsidRDefault="005C599C" w:rsidP="005C599C">
      <w:pPr>
        <w:pStyle w:val="ms-rteelement-p"/>
        <w:shd w:val="clear" w:color="auto" w:fill="FFFFFF"/>
        <w:rPr>
          <w:rFonts w:ascii="Garamond" w:hAnsi="Garamond" w:cs="Arial"/>
          <w:sz w:val="22"/>
          <w:szCs w:val="22"/>
        </w:rPr>
      </w:pPr>
      <w:r w:rsidRPr="0048603D">
        <w:rPr>
          <w:rFonts w:ascii="Garamond" w:hAnsi="Garamond" w:cs="Arial"/>
          <w:sz w:val="22"/>
          <w:szCs w:val="22"/>
        </w:rPr>
        <w:t>Ginnie Mae</w:t>
      </w:r>
      <w:r w:rsidR="003C54FC" w:rsidRPr="0048603D">
        <w:rPr>
          <w:rFonts w:ascii="Garamond" w:hAnsi="Garamond" w:cs="Arial"/>
          <w:sz w:val="22"/>
          <w:szCs w:val="22"/>
        </w:rPr>
        <w:t xml:space="preserve"> is a </w:t>
      </w:r>
      <w:r w:rsidR="0053507D" w:rsidRPr="0048603D">
        <w:rPr>
          <w:rFonts w:ascii="Garamond" w:hAnsi="Garamond" w:cs="Arial"/>
          <w:sz w:val="22"/>
          <w:szCs w:val="22"/>
        </w:rPr>
        <w:t>self-sustaining</w:t>
      </w:r>
      <w:r w:rsidR="003C54FC" w:rsidRPr="0048603D">
        <w:rPr>
          <w:rFonts w:ascii="Garamond" w:hAnsi="Garamond" w:cs="Arial"/>
          <w:sz w:val="22"/>
          <w:szCs w:val="22"/>
        </w:rPr>
        <w:t xml:space="preserve">, profitable, wholly-owned </w:t>
      </w:r>
      <w:r w:rsidR="0053507D" w:rsidRPr="0048603D">
        <w:rPr>
          <w:rFonts w:ascii="Garamond" w:hAnsi="Garamond" w:cs="Arial"/>
          <w:sz w:val="22"/>
          <w:szCs w:val="22"/>
        </w:rPr>
        <w:t>government</w:t>
      </w:r>
      <w:r w:rsidR="003C54FC" w:rsidRPr="0048603D">
        <w:rPr>
          <w:rFonts w:ascii="Garamond" w:hAnsi="Garamond" w:cs="Arial"/>
          <w:sz w:val="22"/>
          <w:szCs w:val="22"/>
        </w:rPr>
        <w:t xml:space="preserve"> </w:t>
      </w:r>
      <w:r w:rsidR="0053507D" w:rsidRPr="0048603D">
        <w:rPr>
          <w:rFonts w:ascii="Garamond" w:hAnsi="Garamond" w:cs="Arial"/>
          <w:sz w:val="22"/>
          <w:szCs w:val="22"/>
        </w:rPr>
        <w:t>corporation</w:t>
      </w:r>
      <w:r w:rsidR="003C54FC" w:rsidRPr="0048603D">
        <w:rPr>
          <w:rFonts w:ascii="Garamond" w:hAnsi="Garamond" w:cs="Arial"/>
          <w:sz w:val="22"/>
          <w:szCs w:val="22"/>
        </w:rPr>
        <w:t xml:space="preserve"> located </w:t>
      </w:r>
      <w:r w:rsidR="0053507D" w:rsidRPr="0048603D">
        <w:rPr>
          <w:rFonts w:ascii="Garamond" w:hAnsi="Garamond" w:cs="Arial"/>
          <w:sz w:val="22"/>
          <w:szCs w:val="22"/>
        </w:rPr>
        <w:t>within</w:t>
      </w:r>
      <w:r w:rsidR="003C54FC" w:rsidRPr="0048603D">
        <w:rPr>
          <w:rFonts w:ascii="Garamond" w:hAnsi="Garamond" w:cs="Arial"/>
          <w:sz w:val="22"/>
          <w:szCs w:val="22"/>
        </w:rPr>
        <w:t xml:space="preserve"> the U.S. </w:t>
      </w:r>
      <w:r w:rsidR="0053507D" w:rsidRPr="0048603D">
        <w:rPr>
          <w:rFonts w:ascii="Garamond" w:hAnsi="Garamond" w:cs="Arial"/>
          <w:sz w:val="22"/>
          <w:szCs w:val="22"/>
        </w:rPr>
        <w:t xml:space="preserve">Department of Housing and Urban Development.  Ginnie Mae brings </w:t>
      </w:r>
      <w:r w:rsidRPr="0048603D">
        <w:rPr>
          <w:rFonts w:ascii="Garamond" w:hAnsi="Garamond" w:cs="Arial"/>
          <w:sz w:val="22"/>
          <w:szCs w:val="22"/>
        </w:rPr>
        <w:t xml:space="preserve">global capital into the housing finance market — a system that runs through the heart of our nation's economy — while minimizing risk to the taxpayer.  </w:t>
      </w:r>
    </w:p>
    <w:p w:rsidR="005C599C" w:rsidRPr="0048603D" w:rsidRDefault="005C599C" w:rsidP="005C599C">
      <w:pPr>
        <w:pStyle w:val="ms-rteelement-p"/>
        <w:shd w:val="clear" w:color="auto" w:fill="FFFFFF"/>
        <w:rPr>
          <w:rFonts w:ascii="Garamond" w:hAnsi="Garamond" w:cs="Arial"/>
          <w:sz w:val="22"/>
          <w:szCs w:val="22"/>
        </w:rPr>
      </w:pPr>
      <w:r w:rsidRPr="0048603D">
        <w:rPr>
          <w:rFonts w:ascii="Garamond" w:hAnsi="Garamond" w:cs="Arial"/>
          <w:sz w:val="22"/>
          <w:szCs w:val="22"/>
          <w:shd w:val="clear" w:color="auto" w:fill="FFFFFF"/>
        </w:rPr>
        <w:t xml:space="preserve">For more than 40 years, Ginnie Mae has provided liquidity and stability, serving as the principal financing arm for government loans and ensuring that mortgage lenders have the necessary funds to provide loans to </w:t>
      </w:r>
      <w:r w:rsidRPr="0048603D">
        <w:rPr>
          <w:rFonts w:ascii="Garamond" w:hAnsi="Garamond" w:cs="Arial"/>
          <w:sz w:val="22"/>
          <w:szCs w:val="22"/>
          <w:shd w:val="clear" w:color="auto" w:fill="FFFFFF"/>
        </w:rPr>
        <w:lastRenderedPageBreak/>
        <w:t>consumers. Ginnie Mae delivers mortgage securitization programs for mortgage lenders and attractive offerings for global investors.</w:t>
      </w:r>
    </w:p>
    <w:p w:rsidR="005C599C" w:rsidRPr="0048603D" w:rsidRDefault="005C599C" w:rsidP="00C174D5">
      <w:pPr>
        <w:pStyle w:val="ms-rteelement-p"/>
        <w:shd w:val="clear" w:color="auto" w:fill="FFFFFF"/>
        <w:spacing w:before="0" w:beforeAutospacing="0" w:after="0" w:afterAutospacing="0"/>
        <w:rPr>
          <w:rFonts w:ascii="Garamond" w:hAnsi="Garamond" w:cs="Arial"/>
          <w:b/>
          <w:sz w:val="22"/>
          <w:szCs w:val="22"/>
          <w:u w:val="single"/>
        </w:rPr>
      </w:pPr>
      <w:r w:rsidRPr="0048603D">
        <w:rPr>
          <w:rFonts w:ascii="Garamond" w:hAnsi="Garamond" w:cs="Arial"/>
          <w:b/>
          <w:sz w:val="22"/>
          <w:szCs w:val="22"/>
          <w:u w:val="single"/>
        </w:rPr>
        <w:t>Ginnie Mae History</w:t>
      </w:r>
    </w:p>
    <w:p w:rsidR="00C174D5" w:rsidRPr="0048603D" w:rsidRDefault="00C174D5" w:rsidP="00C174D5">
      <w:pPr>
        <w:pStyle w:val="ms-rteelement-p"/>
        <w:shd w:val="clear" w:color="auto" w:fill="FFFFFF"/>
        <w:spacing w:before="0" w:beforeAutospacing="0" w:after="0" w:afterAutospacing="0"/>
        <w:rPr>
          <w:rFonts w:ascii="Garamond" w:hAnsi="Garamond" w:cs="Arial"/>
          <w:b/>
          <w:sz w:val="22"/>
          <w:szCs w:val="22"/>
          <w:u w:val="single"/>
        </w:rPr>
      </w:pPr>
    </w:p>
    <w:p w:rsidR="005C599C" w:rsidRPr="0048603D" w:rsidRDefault="005C599C" w:rsidP="00C174D5">
      <w:pPr>
        <w:pStyle w:val="ms-rteelement-p"/>
        <w:shd w:val="clear" w:color="auto" w:fill="FFFFFF"/>
        <w:spacing w:before="0" w:beforeAutospacing="0" w:after="0" w:afterAutospacing="0"/>
        <w:rPr>
          <w:rFonts w:ascii="Garamond" w:hAnsi="Garamond" w:cs="Arial"/>
          <w:sz w:val="22"/>
          <w:szCs w:val="22"/>
        </w:rPr>
      </w:pPr>
      <w:r w:rsidRPr="0048603D">
        <w:rPr>
          <w:rFonts w:ascii="Garamond" w:hAnsi="Garamond" w:cs="Arial"/>
          <w:sz w:val="22"/>
          <w:szCs w:val="22"/>
        </w:rPr>
        <w:t xml:space="preserve">Ginnie Mae’s origins trace back to the Great Depression, when historically high unemployment rates led to an unprecedented wave of loan defaults. In 1934 Congress passed the National Housing Act, which created the Federal Housing Administration (FHA), to help resuscitate the U.S. housing market and protect lenders from mortgage default. The Act was amended in 1938 to charter the Federal National Mortgage Association (FNMA), or Fannie Mae, whose purpose was to create a secondary mortgage market by purchasing FHA-insured loans from lenders and thus provide liquidity to support the flow of credit. The Housing and Urban Development Act of 1968 subsequently split Fannie Mae into two separate corporations: Fannie Mae, to purchase conventional (non-U.S. government-insured or government-guaranteed) mortgages that conformed to specific underwriting standards, and the Government National Mortgage Association (GNMA), or Ginnie Mae, to focus on providing a guaranty backed by the full faith and credit of the United States </w:t>
      </w:r>
      <w:r w:rsidRPr="0048603D">
        <w:rPr>
          <w:rFonts w:ascii="Garamond" w:hAnsi="Garamond" w:cs="Arial"/>
          <w:sz w:val="22"/>
          <w:szCs w:val="22"/>
          <w:shd w:val="clear" w:color="auto" w:fill="FFFFFF"/>
        </w:rPr>
        <w:t>for the timely payment of principal and interest on mortgage-backed securities (MBS) secured by pools of government home loans.</w:t>
      </w:r>
      <w:r w:rsidRPr="0048603D">
        <w:rPr>
          <w:rStyle w:val="apple-converted-space"/>
          <w:rFonts w:ascii="Garamond" w:hAnsi="Garamond" w:cs="Arial"/>
          <w:sz w:val="22"/>
          <w:szCs w:val="22"/>
          <w:shd w:val="clear" w:color="auto" w:fill="FFFFFF"/>
        </w:rPr>
        <w:t> </w:t>
      </w:r>
      <w:r w:rsidRPr="0048603D">
        <w:rPr>
          <w:rFonts w:ascii="Garamond" w:hAnsi="Garamond" w:cs="Arial"/>
          <w:sz w:val="22"/>
          <w:szCs w:val="22"/>
        </w:rPr>
        <w:t xml:space="preserve"> In 1970 Ginnie Mae developed the very first mortgage-backed security (MBS), which allowed for many loans to be pooled and used as collateral in a security that could be sold in the secondary market, to provide a greater flow of capital.  </w:t>
      </w:r>
    </w:p>
    <w:p w:rsidR="00C174D5" w:rsidRPr="0048603D" w:rsidRDefault="00C174D5" w:rsidP="00C174D5">
      <w:pPr>
        <w:pStyle w:val="ms-rteelement-p"/>
        <w:shd w:val="clear" w:color="auto" w:fill="FFFFFF"/>
        <w:spacing w:before="0" w:beforeAutospacing="0" w:after="0" w:afterAutospacing="0"/>
        <w:rPr>
          <w:rFonts w:ascii="Garamond" w:hAnsi="Garamond" w:cs="Arial"/>
          <w:sz w:val="22"/>
          <w:szCs w:val="22"/>
        </w:rPr>
      </w:pPr>
    </w:p>
    <w:p w:rsidR="005C599C" w:rsidRPr="0048603D" w:rsidRDefault="005C599C" w:rsidP="00C174D5">
      <w:pPr>
        <w:shd w:val="clear" w:color="auto" w:fill="FFFFFF"/>
        <w:rPr>
          <w:rFonts w:ascii="Garamond" w:eastAsia="Times New Roman" w:hAnsi="Garamond" w:cs="Arial"/>
          <w:b/>
          <w:sz w:val="22"/>
          <w:szCs w:val="22"/>
          <w:u w:val="single"/>
        </w:rPr>
      </w:pPr>
      <w:r w:rsidRPr="0048603D">
        <w:rPr>
          <w:rFonts w:ascii="Garamond" w:eastAsia="Times New Roman" w:hAnsi="Garamond" w:cs="Arial"/>
          <w:b/>
          <w:sz w:val="22"/>
          <w:szCs w:val="22"/>
          <w:u w:val="single"/>
        </w:rPr>
        <w:t>Model</w:t>
      </w:r>
    </w:p>
    <w:p w:rsidR="00C174D5" w:rsidRPr="0048603D" w:rsidRDefault="00C174D5" w:rsidP="00C174D5">
      <w:pPr>
        <w:shd w:val="clear" w:color="auto" w:fill="FFFFFF"/>
        <w:rPr>
          <w:rFonts w:ascii="Garamond" w:eastAsia="Times New Roman" w:hAnsi="Garamond" w:cs="Arial"/>
          <w:b/>
          <w:sz w:val="22"/>
          <w:szCs w:val="22"/>
        </w:rPr>
      </w:pPr>
    </w:p>
    <w:p w:rsidR="005C599C" w:rsidRPr="0048603D" w:rsidRDefault="005C599C" w:rsidP="00C174D5">
      <w:pPr>
        <w:shd w:val="clear" w:color="auto" w:fill="FFFFFF"/>
        <w:rPr>
          <w:rFonts w:ascii="Garamond" w:eastAsia="Times New Roman" w:hAnsi="Garamond" w:cs="Arial"/>
          <w:sz w:val="22"/>
          <w:szCs w:val="22"/>
        </w:rPr>
      </w:pPr>
      <w:r w:rsidRPr="0048603D">
        <w:rPr>
          <w:rFonts w:ascii="Garamond" w:eastAsia="Times New Roman" w:hAnsi="Garamond" w:cs="Arial"/>
          <w:sz w:val="22"/>
          <w:szCs w:val="22"/>
        </w:rPr>
        <w:t>Ginnie Mae's business model significantly limits the taxpayers' exposure to risk associated with secondary market transactions. Its strategy is to guarantee a simple pass-through security to lenders rather than buy loans and issue its own securities.</w:t>
      </w:r>
    </w:p>
    <w:p w:rsidR="005C599C" w:rsidRPr="0048603D" w:rsidRDefault="003D679D" w:rsidP="005C599C">
      <w:pPr>
        <w:shd w:val="clear" w:color="auto" w:fill="FFFFFF"/>
        <w:spacing w:before="100" w:beforeAutospacing="1" w:after="100" w:afterAutospacing="1"/>
        <w:rPr>
          <w:rFonts w:ascii="Garamond" w:eastAsia="Times New Roman" w:hAnsi="Garamond" w:cs="Arial"/>
          <w:sz w:val="22"/>
          <w:szCs w:val="22"/>
        </w:rPr>
      </w:pPr>
      <w:r w:rsidRPr="0048603D">
        <w:rPr>
          <w:rFonts w:ascii="Garamond" w:eastAsia="Times New Roman" w:hAnsi="Garamond" w:cs="Arial"/>
          <w:noProof/>
          <w:sz w:val="22"/>
          <w:szCs w:val="22"/>
        </w:rPr>
        <w:drawing>
          <wp:anchor distT="0" distB="0" distL="114300" distR="114300" simplePos="0" relativeHeight="251661312" behindDoc="0" locked="0" layoutInCell="1" allowOverlap="1" wp14:anchorId="2DCBC1D2" wp14:editId="7CD76ADB">
            <wp:simplePos x="0" y="0"/>
            <wp:positionH relativeFrom="column">
              <wp:posOffset>3160395</wp:posOffset>
            </wp:positionH>
            <wp:positionV relativeFrom="paragraph">
              <wp:posOffset>279400</wp:posOffset>
            </wp:positionV>
            <wp:extent cx="3200400" cy="1508760"/>
            <wp:effectExtent l="19050" t="19050" r="19050" b="15240"/>
            <wp:wrapSquare wrapText="bothSides"/>
            <wp:docPr id="3" name="Picture 3" descr="Ginnie Mae's Business Model">
              <a:hlinkClick xmlns:a="http://schemas.openxmlformats.org/drawingml/2006/main" r:id="rId9" tgtFrame="&quot;_blank&quot;" tooltip="&quot;Ginnie Mae's Business Mod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nie Mae's Business Model">
                      <a:hlinkClick r:id="rId9" tgtFrame="&quot;_blank&quot;" tooltip="&quot;Ginnie Mae's Business Model&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15087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C599C" w:rsidRPr="0048603D">
        <w:rPr>
          <w:rFonts w:ascii="Garamond" w:eastAsia="Times New Roman" w:hAnsi="Garamond" w:cs="Arial"/>
          <w:sz w:val="22"/>
          <w:szCs w:val="22"/>
        </w:rPr>
        <w:t>Because private lending institutions originate eligible loans, pool them into securities and issue Ginnie Mae mortgage-backed securities (MBS), the corporation's exposure to risk is limited to the ability and capacity of its MBS Issuer partners to fulfill their obligations to pay investors. By guaranteeing the servicing performance of the Issuer — not the underlying collateral — Ginnie Mae insulates itself from the credit risk of the mortgage loans.</w:t>
      </w:r>
    </w:p>
    <w:p w:rsidR="005C599C" w:rsidRPr="0048603D" w:rsidRDefault="005C599C" w:rsidP="005C599C">
      <w:pPr>
        <w:shd w:val="clear" w:color="auto" w:fill="FFFFFF"/>
        <w:rPr>
          <w:rFonts w:ascii="Garamond" w:eastAsia="Times New Roman" w:hAnsi="Garamond" w:cs="Arial"/>
          <w:sz w:val="22"/>
          <w:szCs w:val="22"/>
        </w:rPr>
      </w:pPr>
      <w:r w:rsidRPr="0048603D">
        <w:rPr>
          <w:rFonts w:ascii="Garamond" w:eastAsia="Times New Roman" w:hAnsi="Garamond" w:cs="Arial"/>
          <w:sz w:val="22"/>
          <w:szCs w:val="22"/>
        </w:rPr>
        <w:t xml:space="preserve">Ginnie Mae is in the fourth loss position and is at risk </w:t>
      </w:r>
      <w:r w:rsidR="0053507D" w:rsidRPr="0048603D">
        <w:rPr>
          <w:rFonts w:ascii="Garamond" w:eastAsia="Times New Roman" w:hAnsi="Garamond" w:cs="Arial"/>
          <w:sz w:val="22"/>
          <w:szCs w:val="22"/>
        </w:rPr>
        <w:t xml:space="preserve">once the </w:t>
      </w:r>
      <w:r w:rsidRPr="0048603D">
        <w:rPr>
          <w:rFonts w:ascii="Garamond" w:eastAsia="Times New Roman" w:hAnsi="Garamond" w:cs="Arial"/>
          <w:sz w:val="22"/>
          <w:szCs w:val="22"/>
        </w:rPr>
        <w:t>three preceding layers of risk protection are exhausted or fail. Additionally, the failure of an Issuer will cause Ginnie Mae to experience financial loss only to the extent that funds are needed to transfer the servicing to another Issuer or to the extent there is deterioration in servicing value.</w:t>
      </w:r>
    </w:p>
    <w:p w:rsidR="002968FF" w:rsidRDefault="005C599C" w:rsidP="005C599C">
      <w:pPr>
        <w:shd w:val="clear" w:color="auto" w:fill="FFFFFF"/>
        <w:spacing w:before="100" w:beforeAutospacing="1" w:after="100" w:afterAutospacing="1"/>
        <w:rPr>
          <w:rFonts w:ascii="Garamond" w:hAnsi="Garamond"/>
          <w:noProof/>
          <w:sz w:val="22"/>
          <w:szCs w:val="22"/>
        </w:rPr>
      </w:pPr>
      <w:r w:rsidRPr="0048603D">
        <w:rPr>
          <w:rFonts w:ascii="Garamond" w:eastAsia="Times New Roman" w:hAnsi="Garamond" w:cs="Arial"/>
          <w:sz w:val="22"/>
          <w:szCs w:val="22"/>
        </w:rPr>
        <w:t>Ginnie Mae monitors the delinquencies in Issuer servicing portfolios in an efficient and effective manner to mitigate the potential losses associated with Issuer defaults.</w:t>
      </w:r>
      <w:r w:rsidRPr="0048603D">
        <w:rPr>
          <w:rFonts w:ascii="Garamond" w:hAnsi="Garamond"/>
          <w:noProof/>
          <w:sz w:val="22"/>
          <w:szCs w:val="22"/>
        </w:rPr>
        <w:t xml:space="preserve"> </w:t>
      </w:r>
    </w:p>
    <w:p w:rsidR="00140510" w:rsidRDefault="00140510" w:rsidP="00140510">
      <w:pPr>
        <w:shd w:val="clear" w:color="auto" w:fill="FFFFFF"/>
        <w:rPr>
          <w:rFonts w:ascii="Garamond" w:hAnsi="Garamond"/>
          <w:b/>
          <w:noProof/>
          <w:sz w:val="22"/>
          <w:szCs w:val="22"/>
          <w:u w:val="single"/>
        </w:rPr>
      </w:pPr>
      <w:r w:rsidRPr="00140510">
        <w:rPr>
          <w:rFonts w:ascii="Garamond" w:hAnsi="Garamond"/>
          <w:b/>
          <w:noProof/>
          <w:sz w:val="22"/>
          <w:szCs w:val="22"/>
          <w:u w:val="single"/>
        </w:rPr>
        <w:t>Ginnie Mae and the GSEs</w:t>
      </w:r>
    </w:p>
    <w:p w:rsidR="00140510" w:rsidRPr="00140510" w:rsidRDefault="00140510" w:rsidP="00140510">
      <w:pPr>
        <w:shd w:val="clear" w:color="auto" w:fill="FFFFFF"/>
        <w:rPr>
          <w:rFonts w:ascii="Garamond" w:hAnsi="Garamond" w:cs="Arial"/>
          <w:sz w:val="22"/>
          <w:szCs w:val="22"/>
          <w:shd w:val="clear" w:color="auto" w:fill="FFFFFF"/>
        </w:rPr>
      </w:pPr>
    </w:p>
    <w:p w:rsidR="00140510" w:rsidRPr="00140510" w:rsidRDefault="00140510" w:rsidP="00FB4060">
      <w:pPr>
        <w:shd w:val="clear" w:color="auto" w:fill="FFFFFF"/>
        <w:rPr>
          <w:rFonts w:ascii="Garamond" w:hAnsi="Garamond"/>
          <w:b/>
          <w:noProof/>
          <w:sz w:val="22"/>
          <w:szCs w:val="22"/>
          <w:u w:val="single"/>
        </w:rPr>
      </w:pPr>
      <w:r w:rsidRPr="00140510">
        <w:rPr>
          <w:rFonts w:ascii="Garamond" w:hAnsi="Garamond" w:cs="Arial"/>
          <w:sz w:val="22"/>
          <w:szCs w:val="22"/>
          <w:shd w:val="clear" w:color="auto" w:fill="FFFFFF"/>
        </w:rPr>
        <w:t>The key differences between Ginnie Mae and the Government-Sponsored Enterprises (GSEs), include:</w:t>
      </w:r>
    </w:p>
    <w:p w:rsidR="00140510" w:rsidRPr="00FB4060" w:rsidRDefault="00140510" w:rsidP="00FB4060">
      <w:pPr>
        <w:numPr>
          <w:ilvl w:val="0"/>
          <w:numId w:val="3"/>
        </w:numPr>
        <w:shd w:val="clear" w:color="auto" w:fill="FFFFFF"/>
        <w:jc w:val="both"/>
        <w:rPr>
          <w:rFonts w:ascii="Garamond" w:eastAsia="Times New Roman" w:hAnsi="Garamond" w:cs="Arial"/>
          <w:sz w:val="22"/>
          <w:szCs w:val="22"/>
        </w:rPr>
      </w:pPr>
      <w:r w:rsidRPr="00FB4060">
        <w:rPr>
          <w:rFonts w:ascii="Garamond" w:eastAsia="Times New Roman" w:hAnsi="Garamond" w:cs="Arial"/>
          <w:bCs/>
          <w:sz w:val="22"/>
          <w:szCs w:val="22"/>
        </w:rPr>
        <w:t>Only Ginnie Mae securities are explicitly backed by the full faith and credit of the U.S. Government.</w:t>
      </w:r>
    </w:p>
    <w:p w:rsidR="00140510" w:rsidRPr="00FB4060" w:rsidRDefault="00140510" w:rsidP="00FB4060">
      <w:pPr>
        <w:numPr>
          <w:ilvl w:val="0"/>
          <w:numId w:val="4"/>
        </w:numPr>
        <w:shd w:val="clear" w:color="auto" w:fill="FFFFFF"/>
        <w:jc w:val="both"/>
        <w:rPr>
          <w:rFonts w:ascii="Garamond" w:eastAsia="Times New Roman" w:hAnsi="Garamond" w:cs="Arial"/>
          <w:sz w:val="22"/>
          <w:szCs w:val="22"/>
        </w:rPr>
      </w:pPr>
      <w:r w:rsidRPr="00FB4060">
        <w:rPr>
          <w:rFonts w:ascii="Garamond" w:eastAsia="Times New Roman" w:hAnsi="Garamond" w:cs="Arial"/>
          <w:bCs/>
          <w:sz w:val="22"/>
          <w:szCs w:val="22"/>
        </w:rPr>
        <w:t>Ginnie Mae is a self-sustaining, profitable and wholly-owned government corporation located within the U.S. Department of Housing and Urban Development (HUD),</w:t>
      </w:r>
      <w:r w:rsidRPr="00FB4060">
        <w:rPr>
          <w:rFonts w:ascii="Garamond" w:eastAsia="Times New Roman" w:hAnsi="Garamond" w:cs="Arial"/>
          <w:sz w:val="22"/>
          <w:szCs w:val="22"/>
        </w:rPr>
        <w:t> </w:t>
      </w:r>
      <w:r w:rsidRPr="00140510">
        <w:rPr>
          <w:rFonts w:ascii="Garamond" w:eastAsia="Times New Roman" w:hAnsi="Garamond" w:cs="Arial"/>
          <w:sz w:val="22"/>
          <w:szCs w:val="22"/>
        </w:rPr>
        <w:t xml:space="preserve">while the GSEs are public corporations chartered by Congress, but owned by shareholders*. </w:t>
      </w:r>
    </w:p>
    <w:p w:rsidR="00140510" w:rsidRPr="00140510" w:rsidRDefault="00140510" w:rsidP="00FB4060">
      <w:pPr>
        <w:numPr>
          <w:ilvl w:val="0"/>
          <w:numId w:val="4"/>
        </w:numPr>
        <w:shd w:val="clear" w:color="auto" w:fill="FFFFFF"/>
        <w:jc w:val="both"/>
        <w:rPr>
          <w:rFonts w:ascii="Garamond" w:eastAsia="Times New Roman" w:hAnsi="Garamond" w:cs="Arial"/>
          <w:sz w:val="22"/>
          <w:szCs w:val="22"/>
        </w:rPr>
      </w:pPr>
      <w:r w:rsidRPr="00FB4060">
        <w:rPr>
          <w:rFonts w:ascii="Garamond" w:eastAsia="Times New Roman" w:hAnsi="Garamond" w:cs="Arial"/>
          <w:bCs/>
          <w:sz w:val="22"/>
          <w:szCs w:val="22"/>
        </w:rPr>
        <w:t>Ginnie Mae’s business model significantly mitigates taxpayers’ exposure to risk associated with mortgage securitization</w:t>
      </w:r>
      <w:r w:rsidRPr="00140510">
        <w:rPr>
          <w:rFonts w:ascii="Garamond" w:eastAsia="Times New Roman" w:hAnsi="Garamond" w:cs="Arial"/>
          <w:sz w:val="22"/>
          <w:szCs w:val="22"/>
        </w:rPr>
        <w:t>.</w:t>
      </w:r>
      <w:r w:rsidRPr="00FB4060">
        <w:rPr>
          <w:rFonts w:ascii="Garamond" w:eastAsia="Times New Roman" w:hAnsi="Garamond" w:cs="Arial"/>
          <w:sz w:val="22"/>
          <w:szCs w:val="22"/>
        </w:rPr>
        <w:t> </w:t>
      </w:r>
    </w:p>
    <w:p w:rsidR="00140510" w:rsidRPr="00FB4060" w:rsidRDefault="00140510" w:rsidP="00FB4060">
      <w:pPr>
        <w:numPr>
          <w:ilvl w:val="0"/>
          <w:numId w:val="5"/>
        </w:numPr>
        <w:shd w:val="clear" w:color="auto" w:fill="FFFFFF"/>
        <w:jc w:val="both"/>
        <w:rPr>
          <w:rFonts w:ascii="Garamond" w:hAnsi="Garamond"/>
          <w:sz w:val="22"/>
          <w:szCs w:val="22"/>
          <w:u w:val="single"/>
        </w:rPr>
      </w:pPr>
      <w:r w:rsidRPr="00FB4060">
        <w:rPr>
          <w:rFonts w:ascii="Garamond" w:eastAsia="Times New Roman" w:hAnsi="Garamond" w:cs="Arial"/>
          <w:bCs/>
          <w:sz w:val="22"/>
          <w:szCs w:val="22"/>
        </w:rPr>
        <w:t>In the Ginnie Mae program, Issuers are financially responsible for their securities, even if the underlying mortgage collateral becomes delinquent</w:t>
      </w:r>
      <w:r w:rsidRPr="00140510">
        <w:rPr>
          <w:rFonts w:ascii="Garamond" w:eastAsia="Times New Roman" w:hAnsi="Garamond" w:cs="Arial"/>
          <w:sz w:val="22"/>
          <w:szCs w:val="22"/>
        </w:rPr>
        <w:t xml:space="preserve">. </w:t>
      </w:r>
    </w:p>
    <w:p w:rsidR="00FB4060" w:rsidRPr="00FB4060" w:rsidRDefault="00FB4060" w:rsidP="00FB4060">
      <w:pPr>
        <w:numPr>
          <w:ilvl w:val="0"/>
          <w:numId w:val="5"/>
        </w:numPr>
        <w:shd w:val="clear" w:color="auto" w:fill="FFFFFF"/>
        <w:jc w:val="both"/>
        <w:rPr>
          <w:rFonts w:ascii="Garamond" w:hAnsi="Garamond"/>
          <w:sz w:val="22"/>
          <w:szCs w:val="22"/>
          <w:u w:val="single"/>
        </w:rPr>
      </w:pPr>
      <w:r>
        <w:rPr>
          <w:rFonts w:ascii="Garamond" w:eastAsia="Times New Roman" w:hAnsi="Garamond" w:cs="Arial"/>
          <w:sz w:val="22"/>
          <w:szCs w:val="22"/>
        </w:rPr>
        <w:t xml:space="preserve">Ginnie Mae has never needed a taxpayer-footed, government bailout.  </w:t>
      </w:r>
    </w:p>
    <w:sectPr w:rsidR="00FB4060" w:rsidRPr="00FB4060" w:rsidSect="00C174D5">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RSNS L+ Gotham">
    <w:altName w:val="Gotham"/>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71B"/>
    <w:multiLevelType w:val="multilevel"/>
    <w:tmpl w:val="4138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00047"/>
    <w:multiLevelType w:val="multilevel"/>
    <w:tmpl w:val="833C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F0B68"/>
    <w:multiLevelType w:val="multilevel"/>
    <w:tmpl w:val="B2EE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6E6AAB"/>
    <w:multiLevelType w:val="hybridMultilevel"/>
    <w:tmpl w:val="F5D21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27D2AAA"/>
    <w:multiLevelType w:val="multilevel"/>
    <w:tmpl w:val="126E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9C"/>
    <w:rsid w:val="00140510"/>
    <w:rsid w:val="0027350A"/>
    <w:rsid w:val="002968FF"/>
    <w:rsid w:val="00351C5A"/>
    <w:rsid w:val="003C54FC"/>
    <w:rsid w:val="003D679D"/>
    <w:rsid w:val="0048603D"/>
    <w:rsid w:val="0053507D"/>
    <w:rsid w:val="005C599C"/>
    <w:rsid w:val="006051E2"/>
    <w:rsid w:val="00651E20"/>
    <w:rsid w:val="006665A2"/>
    <w:rsid w:val="0068078D"/>
    <w:rsid w:val="00691780"/>
    <w:rsid w:val="006B3B05"/>
    <w:rsid w:val="009047A2"/>
    <w:rsid w:val="009405BF"/>
    <w:rsid w:val="00965C35"/>
    <w:rsid w:val="00992EE9"/>
    <w:rsid w:val="00A26D3F"/>
    <w:rsid w:val="00AB368A"/>
    <w:rsid w:val="00AD395F"/>
    <w:rsid w:val="00C174D5"/>
    <w:rsid w:val="00DC1A73"/>
    <w:rsid w:val="00EE5AD3"/>
    <w:rsid w:val="00FB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9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rteelement-p">
    <w:name w:val="ms-rteelement-p"/>
    <w:basedOn w:val="Normal"/>
    <w:rsid w:val="005C599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C599C"/>
  </w:style>
  <w:style w:type="character" w:customStyle="1" w:styleId="A2">
    <w:name w:val="A2"/>
    <w:uiPriority w:val="99"/>
    <w:rsid w:val="005C599C"/>
    <w:rPr>
      <w:rFonts w:cs="SRSNS L+ Gotham"/>
      <w:color w:val="57585A"/>
      <w:sz w:val="20"/>
      <w:szCs w:val="20"/>
    </w:rPr>
  </w:style>
  <w:style w:type="character" w:styleId="Hyperlink">
    <w:name w:val="Hyperlink"/>
    <w:basedOn w:val="DefaultParagraphFont"/>
    <w:uiPriority w:val="99"/>
    <w:unhideWhenUsed/>
    <w:rsid w:val="00C174D5"/>
    <w:rPr>
      <w:color w:val="0000FF" w:themeColor="hyperlink"/>
      <w:u w:val="single"/>
    </w:rPr>
  </w:style>
  <w:style w:type="paragraph" w:styleId="ListParagraph">
    <w:name w:val="List Paragraph"/>
    <w:basedOn w:val="Normal"/>
    <w:uiPriority w:val="34"/>
    <w:qFormat/>
    <w:rsid w:val="00EE5AD3"/>
    <w:pPr>
      <w:ind w:left="720"/>
    </w:pPr>
    <w:rPr>
      <w:rFonts w:ascii="Calibri" w:eastAsiaTheme="minorHAnsi" w:hAnsi="Calibri" w:cs="Times New Roman"/>
      <w:sz w:val="22"/>
      <w:szCs w:val="22"/>
    </w:rPr>
  </w:style>
  <w:style w:type="character" w:styleId="Strong">
    <w:name w:val="Strong"/>
    <w:basedOn w:val="DefaultParagraphFont"/>
    <w:uiPriority w:val="22"/>
    <w:qFormat/>
    <w:rsid w:val="001405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9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rteelement-p">
    <w:name w:val="ms-rteelement-p"/>
    <w:basedOn w:val="Normal"/>
    <w:rsid w:val="005C599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C599C"/>
  </w:style>
  <w:style w:type="character" w:customStyle="1" w:styleId="A2">
    <w:name w:val="A2"/>
    <w:uiPriority w:val="99"/>
    <w:rsid w:val="005C599C"/>
    <w:rPr>
      <w:rFonts w:cs="SRSNS L+ Gotham"/>
      <w:color w:val="57585A"/>
      <w:sz w:val="20"/>
      <w:szCs w:val="20"/>
    </w:rPr>
  </w:style>
  <w:style w:type="character" w:styleId="Hyperlink">
    <w:name w:val="Hyperlink"/>
    <w:basedOn w:val="DefaultParagraphFont"/>
    <w:uiPriority w:val="99"/>
    <w:unhideWhenUsed/>
    <w:rsid w:val="00C174D5"/>
    <w:rPr>
      <w:color w:val="0000FF" w:themeColor="hyperlink"/>
      <w:u w:val="single"/>
    </w:rPr>
  </w:style>
  <w:style w:type="paragraph" w:styleId="ListParagraph">
    <w:name w:val="List Paragraph"/>
    <w:basedOn w:val="Normal"/>
    <w:uiPriority w:val="34"/>
    <w:qFormat/>
    <w:rsid w:val="00EE5AD3"/>
    <w:pPr>
      <w:ind w:left="720"/>
    </w:pPr>
    <w:rPr>
      <w:rFonts w:ascii="Calibri" w:eastAsiaTheme="minorHAnsi" w:hAnsi="Calibri" w:cs="Times New Roman"/>
      <w:sz w:val="22"/>
      <w:szCs w:val="22"/>
    </w:rPr>
  </w:style>
  <w:style w:type="character" w:styleId="Strong">
    <w:name w:val="Strong"/>
    <w:basedOn w:val="DefaultParagraphFont"/>
    <w:uiPriority w:val="22"/>
    <w:qFormat/>
    <w:rsid w:val="001405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26161">
      <w:bodyDiv w:val="1"/>
      <w:marLeft w:val="0"/>
      <w:marRight w:val="0"/>
      <w:marTop w:val="0"/>
      <w:marBottom w:val="0"/>
      <w:divBdr>
        <w:top w:val="none" w:sz="0" w:space="0" w:color="auto"/>
        <w:left w:val="none" w:sz="0" w:space="0" w:color="auto"/>
        <w:bottom w:val="none" w:sz="0" w:space="0" w:color="auto"/>
        <w:right w:val="none" w:sz="0" w:space="0" w:color="auto"/>
      </w:divBdr>
    </w:div>
    <w:div w:id="105107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ginniemae.gov/inside_gnma/company_overview/PublishingImages/countercyclicalrole.png"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ginniemae.gov/inside_gnma/company_overview/PublishingImages/businessmodel3.pn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de691e59-5010-4ecb-9782-7a5fcd7f2ee7"/>
    <o81b1297f8ea44c4a1a18434f1b1b8c1 xmlns="de691e59-5010-4ecb-9782-7a5fcd7f2ee7" xsi:nil="true"/>
    <fa95661f37b548c0a835b74df6168878 xmlns="de691e59-5010-4ecb-9782-7a5fcd7f2ee7" xsi:nil="true"/>
    <_dlc_DocId xmlns="de691e59-5010-4ecb-9782-7a5fcd7f2ee7">AZS6SFW4AK2Z-140957973-5</_dlc_DocId>
    <_dlc_DocIdUrl xmlns="de691e59-5010-4ecb-9782-7a5fcd7f2ee7">
      <Url>https://www.ginniemae.gov:81/newsroom/mediaresources/_layouts/15/DocIdRedir.aspx?ID=AZS6SFW4AK2Z-140957973-5</Url>
      <Description>AZS6SFW4AK2Z-140957973-5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2BA9DE8712E774FB3674821C1C9F175" ma:contentTypeVersion="9" ma:contentTypeDescription="Create a new document." ma:contentTypeScope="" ma:versionID="95d68cc3bfcdccf0afb9def671274fc7">
  <xsd:schema xmlns:xsd="http://www.w3.org/2001/XMLSchema" xmlns:xs="http://www.w3.org/2001/XMLSchema" xmlns:p="http://schemas.microsoft.com/office/2006/metadata/properties" xmlns:ns1="http://schemas.microsoft.com/sharepoint/v3" xmlns:ns2="de691e59-5010-4ecb-9782-7a5fcd7f2ee7" targetNamespace="http://schemas.microsoft.com/office/2006/metadata/properties" ma:root="true" ma:fieldsID="491a520c845696ad637e0f7e33f95f52" ns1:_="" ns2:_="">
    <xsd:import namespace="http://schemas.microsoft.com/sharepoint/v3"/>
    <xsd:import namespace="de691e59-5010-4ecb-9782-7a5fcd7f2ee7"/>
    <xsd:element name="properties">
      <xsd:complexType>
        <xsd:sequence>
          <xsd:element name="documentManagement">
            <xsd:complexType>
              <xsd:all>
                <xsd:element ref="ns1:PublishingStartDate" minOccurs="0"/>
                <xsd:element ref="ns1:PublishingExpirationDate" minOccurs="0"/>
                <xsd:element ref="ns2:TaxCatchAll" minOccurs="0"/>
                <xsd:element ref="ns2:TaxCatchAllLabel" minOccurs="0"/>
                <xsd:element ref="ns2:o81b1297f8ea44c4a1a18434f1b1b8c1" minOccurs="0"/>
                <xsd:element ref="ns2:fa95661f37b548c0a835b74df6168878"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691e59-5010-4ecb-9782-7a5fcd7f2ee7" elementFormDefault="qualified">
    <xsd:import namespace="http://schemas.microsoft.com/office/2006/documentManagement/types"/>
    <xsd:import namespace="http://schemas.microsoft.com/office/infopath/2007/PartnerControls"/>
    <xsd:element name="TaxCatchAll" ma:index="6" nillable="true" ma:displayName="Taxonomy Catch All Column" ma:description="" ma:hidden="true" ma:list="{8108a1cb-49b2-4356-ba49-6f5b0766f656}" ma:internalName="TaxCatchAll" ma:readOnly="false" ma:showField="CatchAllData" ma:web="de691e59-5010-4ecb-9782-7a5fcd7f2ee7">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description="" ma:hidden="true" ma:list="{8108a1cb-49b2-4356-ba49-6f5b0766f656}" ma:internalName="TaxCatchAllLabel" ma:readOnly="true" ma:showField="CatchAllDataLabel" ma:web="de691e59-5010-4ecb-9782-7a5fcd7f2ee7">
      <xsd:complexType>
        <xsd:complexContent>
          <xsd:extension base="dms:MultiChoiceLookup">
            <xsd:sequence>
              <xsd:element name="Value" type="dms:Lookup" maxOccurs="unbounded" minOccurs="0" nillable="true"/>
            </xsd:sequence>
          </xsd:extension>
        </xsd:complexContent>
      </xsd:complexType>
    </xsd:element>
    <xsd:element name="o81b1297f8ea44c4a1a18434f1b1b8c1" ma:index="8" nillable="true" ma:displayName="Document Type_2" ma:hidden="true" ma:internalName="o81b1297f8ea44c4a1a18434f1b1b8c1" ma:readOnly="false">
      <xsd:simpleType>
        <xsd:restriction base="dms:Note"/>
      </xsd:simpleType>
    </xsd:element>
    <xsd:element name="fa95661f37b548c0a835b74df6168878" ma:index="9" nillable="true" ma:displayName="User Group_1" ma:hidden="true" ma:internalName="fa95661f37b548c0a835b74df6168878" ma:readOnly="false">
      <xsd:simpleType>
        <xsd:restriction base="dms:Note"/>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0370C-C0D6-490B-8401-A4A510F08A94}"/>
</file>

<file path=customXml/itemProps2.xml><?xml version="1.0" encoding="utf-8"?>
<ds:datastoreItem xmlns:ds="http://schemas.openxmlformats.org/officeDocument/2006/customXml" ds:itemID="{272F08AC-9311-42B0-A239-63C9E5EDC97D}"/>
</file>

<file path=customXml/itemProps3.xml><?xml version="1.0" encoding="utf-8"?>
<ds:datastoreItem xmlns:ds="http://schemas.openxmlformats.org/officeDocument/2006/customXml" ds:itemID="{4084F2F9-73F2-4F7A-A75C-4DF24475F809}"/>
</file>

<file path=customXml/itemProps4.xml><?xml version="1.0" encoding="utf-8"?>
<ds:datastoreItem xmlns:ds="http://schemas.openxmlformats.org/officeDocument/2006/customXml" ds:itemID="{E7131209-1D7B-4477-B5C8-87168911394A}"/>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Burson-Marsteller</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Ginnie Mae</dc:title>
  <dc:creator>Cowan, Chad</dc:creator>
  <cp:lastModifiedBy>Gina B. Screen</cp:lastModifiedBy>
  <cp:revision>2</cp:revision>
  <dcterms:created xsi:type="dcterms:W3CDTF">2016-04-01T15:43:00Z</dcterms:created>
  <dcterms:modified xsi:type="dcterms:W3CDTF">2016-04-01T15:43:00Z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1002025501</vt:i4>
  </property>
  <property fmtid="{D5CDD505-2E9C-101B-9397-08002B2CF9AE}" pid="3" name="_NewReviewCycle">
    <vt:lpwstr/>
  </property>
  <property fmtid="{D5CDD505-2E9C-101B-9397-08002B2CF9AE}" pid="4" name="_EmailSubject">
    <vt:lpwstr>Newsroom Media Kit</vt:lpwstr>
  </property>
  <property fmtid="{D5CDD505-2E9C-101B-9397-08002B2CF9AE}" pid="5" name="_AuthorEmail">
    <vt:lpwstr>Gina.B.Screen@hud.gov</vt:lpwstr>
  </property>
  <property fmtid="{D5CDD505-2E9C-101B-9397-08002B2CF9AE}" pid="6" name="_AuthorEmailDisplayName">
    <vt:lpwstr>Screen, Gina B</vt:lpwstr>
  </property>
  <property fmtid="{D5CDD505-2E9C-101B-9397-08002B2CF9AE}" pid="7" name="ContentTypeId">
    <vt:lpwstr>0x010100B2BA9DE8712E774FB3674821C1C9F175</vt:lpwstr>
  </property>
  <property fmtid="{D5CDD505-2E9C-101B-9397-08002B2CF9AE}" pid="8" name="_dlc_DocIdItemGuid">
    <vt:lpwstr>843e5dd0-cc71-48da-9020-6be6f259ca42</vt:lpwstr>
  </property>
</Properties>
</file>